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Челябинской области от 31.03.2021, оставленным без изменения постановлением Восемнадцатого арбитражного апелляционного суда от 20.07.2021 и постановлением Арбитражного суда Уральского округа от 06.10.2021, в удовлетворении заявления отказано. В кассационной жалобе Самсонова И.А. просит об отмене судебных актов, ссылаясь на игнорирование нарушения прав наследников неоспариванием соглашений о продлении срока действия договоров займа с участником и директором общества «Компьютер ЛТД», заключенных в отсутствие согласования с уполномоченным органом общества, а также ранее совершенных управляющим в процессе банкротства должника незаконных действий.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отсутствие повода для оспаривания финансовым управляющим соглашений к договорам, заключенным не должником и не за счет должника в 2011 и 2012 годах, и перспектив оспаривания сделок, игнорирование которых могло быть вменено финансовому управляющему, поэтому отказали в удовлетворении заявления в соответствии со статьями 20.3, 60, 129, 213.9 Федерального закона от 26.10.2002 № 127-ФЗ «О несостоятельности (банкротстве)». Иная оценка заявителем действий финансового управляющего является субъективной 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Самсоновой И.А.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