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предпринимательства и инновационного развития города Москвы (далее – Департамент) обратился в Арбитражный суд города Москвы с иском, уточненным в порядке статьи 49 Арбитражного процессуального кодекса Российской Федерации (далее – АПК РФ), к закрытому акционерному обществу «Мастерславль» (далее – Общество) о взыскании 38 388 759 рублей 31 копейки задолженности, 588 906 рублей 38 копеек процентов за пользование чужими денежными средствами с последующим их начислением по дату фактической уплаты долга, 239 207 рублей неустойки за просрочку предоставления итогового отчета. Решением Арбитражного суда города Москвы от 12.02.2021, оставленным без изменения постановлением Девятого арбитражного апелляционного суда от 28.04.2021 и постановлением Арбитражного суда Московского округа от 29.09.2021, требования удовлетворены частично: с Общества в пользу Департамента взыскано 38 388 759 рублей 31 копейка задолженности, 147 507 рублей 49 копеек процентов за пользование чужими денежными 2 средствами, а также проценты, начиная с 10.02.2021 по дату фактической уплаты долга и 100 000 рублей неустойки; в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в части отказа во взыскании неустойки и процентов за пользование чужими денежными средствами,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Общество не подпадает по действие моратория, который распространяется только на лиц, в отношении которых возбуждено дело о банкротстве. По мнению Департамента, у суда отсутствовали основания для снижения неустойки.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Департаментом и Обществом заключено соглашение от 21.08.2019 № 9/2-58дтех-19, предметом которого является предоставление в 2019 году ответчику гранта из бюджета города Москвы на основании распоряжения то 21.08.2019 № Р-18-11-82/9 в размере 112 568 000 рублей на обеспечение условий, необходимых для реализации мероприятий, связанных с профессиональной ориентацией детей, включая внесение платы за пользование имуществом (арендной платы), текущее содержание и охрану имущества, используемого для проведения указанных мероприятий ответчика согласно смете расходов. В нарушении пункта 3.15 соглашения ответчиком не осуществлен возврат в Департамент неиспользованного остатка средств гранта в размере 38 388 759 рублей 31 копейка. Истец по результатам проведенной проверки письмом от 02.11.2020 № ДПиИР-08-04-501/20 направил ответчику акт выявленных нарушений от 27.10.2020 с требованием их устранить. Согласно пункту 4.8 соглашения в случае, если ответчик не оспорит акт или не устранит выявленные нарушения в сроки, указанные в акте, истец принимает решение о возврате в бюджет города Москвы соответствующей суммы гранта, оформленное в виде распоряжения Департамента. Распоряжением от 18.11.2020 № Р-18-11-254/20 истец принял решение о возврате бюджетных средств в бюджет города Москвы по соглашению. 3 Поскольку Общество в добровольном порядке денежные средства не возвратило, Департамент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333, 395 Гражданского кодекса Российской Федерации (далее – Гражданский кодекс), постановлением Правительства Российской Федерации от 03.04.2020 № 428 «О введении моратория на возбуждение дел о банкротстве по заявлению кредиторов в отношении отдельных должников» (далее – Постановление № 428), постановлением Правительства Российской Федерации от 01.10.2020 № 1587 «О продлении срока действия моратория на возбуждение дел о банкротстве по заявлению кредиторов в отношении отдельных должников» 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постановлении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информационном письме Президиума Высшего Арбитражного Суда Российской Федерации от 14.07.1997 № 17 «Обзор практики применения арбитражными судами статьи 333 Гражданского кодекса Российской Федерации», суды удовлетворили заявленные требования в части. Вопреки утверждениям Департамента, судом правомерно снижен размер неустойки в порядке статьи 333 Гражданского кодекса, а в части требования о взыскании процентов за пользование чужими денежными средствами учтены положения Постановления № 428, предоставляющего пострадавшим субъектам экономической деятельности право на мораторий по начислению процентов.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предпринимательства и инновационного развития города Москвы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