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«Инженерные системы и решения» (далее – Общество) обратилось в Арбитражный суд Республики Коми с иском к ФИО1 и ФИО2 о привлечении ответчиков к субсидиарной ответственности по обязательствам общества с ограниченной ответственностью «Технические системы и технологии» и взыскании в солидарном порядке 808 467 рублей 61 копейки. Решением Арбитражного суда Республики Коми от 28.01.2021, оставленным без изменения постановлением Второго арбитражного апелляционного суда от 16.04.2021 и постановлением Арбитражного суда Волго-Вятского округа от 31.08.2021,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«Инженерные системы и решения». Срок подачи кассационной жалобы на решение Арбитражного суда Республики Коми от 28.01.2021, постановление Второго арбитражного апелляционного суда от 16.04.2021 и постановление Арбитражного суда Волго-Вятского округа от 31.08.2021 по делу № А29-499/2020 восстановить. Судья Верховного Суда Российской Федерации Н.С. Чучунова Суд: Верховный Суд РФ (подробнее) Судьи дела: Чучунова Н.С. (судья) (подробнее) Последние документы по делу: Определение от 2 декабря 2021 г. по делу № А29-499/2020 Определение от 3 ноября 2021 г. по делу № А29-499/2020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