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Ходимчук Наталии Михайловны должник обратилась в Арбитражный суд города Москвы с заявлением об исключении из конкурсной массы 1/2 доли в праве общей долевой собственности на квартиру по адресу: г. Москва, Шелепихинское шоссе, д. 17, корп. 1, кв. 28, общей площадью 96, 3 кв. м. Определением Арбитражного суда города Москвы от 06.04.2021 заявление Ходимчук Н.М. об исключении имущества из конкурсной массы удовлетворено. Постановлением Девятого арбитражного апелляционного суда от 14.07.2021 определение суда первой инстанции оставлено без изменения. Арбитражный суд Московского округа постановлением от 08.10.2021 указанные судебные акты оставил без изменения. Финансовый управляющий Щепина Ольга Николаевна обратилась в Судебную коллегию Верховного Суда Российской Федерации с кассационной 2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учитывая принцип обеспечения справедливого баланса между имущественными интересами кредиторов и личными правами должника, исходя из фактических обстоятельств дела, установив, что спорная квартира соответствует критериям единственного пригодного для проживания должника жилья, пришли к выводу о предоставлении исполнительского иммунитета на принадлежащую на праве собственности должнику долю в квартире.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Щепиной Ольге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