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Губарева Владимира Николаевича общество с ограниченной ответственностью «Стройпроектсервис» обратилось в Арбитражный суд Самарской области с заявлением о включении в реестр требований кредиторов должника задолженности в размере 13 770 400 рублей. Определением Арбитражного суда Самарской области от 26.04.2021 заявление удовлетворено, требование в размере 13 770 400 рублей включено в состав третьей очереди реестра требований кредиторов должника. Постановлением Одиннадцатого арбитражного апелляционного суда от 21.06.2021 определение суда первой инстанции оставлено без изменения. Арбитражный суд Поволжского округа постановлением от 07.10.2021 указанные судебные акты оставил без изменения. Губарев Владимир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309, 310, 414, 807, 808, 809, 810, 818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выводу о доказанности наличия у должника перед кредитором неисполненных обязательств по возврату займа.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установление иных фактических обстоятельств по обособленному спору,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 поскольку невозможность проведения экспертизы обоснована отсутствием необходимых для проведения экспертизы документов.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Губареву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