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26.01.2021, оставленным без изменения постановлениями Девятого арбитражного апелляционного суда от 05.05.2021 и Арбитражного суда Московского округа от 13.10.2021, в удовлетворении иска отказано. В кассационной жалобе, поданной в Верховный Суд Российской Федерации, САО «ВСК» ставит вопрос об отмене принятых по делу судебных актов,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ОАО «РЖД» (арендодатель) и АО «ЦППК» (арендатор) заключен договор аренды железнодорожного подвижного состава с экипажем (моторвагонный подвижной состав). В соответствии с постановлением о возбуждении уголовного дела и принятии его к производству в период ночного времени 26.04.2019 при следовании поезда в вагоне № ЭД2Т № 000104 произошел пожар, в результате которого вагон полностью сгорел. Указанное событие признано страховым случаем, в связи с чем САО «ВСК» (страховщик) выплатило ОАО «РЖД» (страхователь) страховое возмещение в размере 3 614 667 рублей 44 копеек. Ссылаясь на то, что к страховщику перешло право требования возмещения причиненного ущерба в пределах выплаченной суммы, САО «ВСК» обратилось в арбитражный суд с заявленными требованиями к АО «ЦППК», как к лицу, ответственному за причинение убытков. Исследовав и оценив представленные в материалы дела доказательства, руководствуясь положениями статей 15, 431, 616, 965, 1064 Гражданского кодекса Российской Федерации, с учетом правовой позиции Пленума Верховного Суда Российской Федерации, изложенной в пункте 12 постановления от 23.06.2015 № 25 «О применении судами некоторых положений раздела I части первой Гражданского кодекса Российской Федерации», пункте 17 постановления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отсутствии необходимой совокупности условий для привлечения ответчика к гражданско-правовой ответственности в виде возмещения убытков. Судебные инстанции исходили из того, что порча имущества произошла в связи с неправомерными действиями третьих лиц и не находится в причинно-следственной связи с действиями АО «ЦППК» по исполнению договора аренды железнодорожного подвижного состава. 3 При исследовании обстоятельств дела не установлено обстоятельств, свидетельствующих о том, что пожар в вагоне произошел по вине арендатора, в том числе в результате необеспечения его сохранности. Доводы, изложенные в кассационной жалобе, повторяют позицию САО «ВСК»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