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Горева Ольга Евгеньевна обратилась в суд с заявлением к обществу о признании недействительной сделкой зачёта встречных однородных требований, оформленного заявлением должника от 18.05.2018 № 04-20/53, на сумму 1 358 600 рублей; применении последствий её недействительности. Определением Арбитражного суда Кировской области от 27.12.2020 в удовлетворении заявления отказано. Постановлением Второго арбитражного апелляционного суда от 22.06.2021, оставленным без изменения постановлением Арбитражного суда Волго-Вятского округа от 30.09.2021,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пунктом 2 статьи 61.3 Федерального закона от 26.10.2002 № 127-ФЗ «О несостоятельности (банкротстве)», пунктами 10, 12, 14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недействительной оспариваемой сделки, совершённой за десять дней до возбуждения дела о банкротстве должника вне пределов обычной хозяйственной деятельности и повлекшей за собой предпочтительное удовлетворение требований общества.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техническая компания «Аспект-Сети»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