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«Авиакомпания «Россия» обратилось в Арбитражный суд города Санкт-Петербурга и Ленинградской области с иском о взыскании с общества с ограниченной ответственностью «Воздушные Ворота Северной Столицы» 10 058 043 рублей 79 копеек задолженности по выплате бонусного вознаграждения. Решением Арбитражного суда города Санкт-Петербурга и Ленинградской области от 24.02.2021 в удовлетворении иска отказано. Постановлением Тринадцатого арбитражного апелляционного суда от 19.05.2021 решение суда первой инстанции оставлено без изменения. Арбитражный суд Северо-Западного округа постановлением от 19.10.2021 указанные судебные акты оставил без изменения. Акционерное общество «Авиакомпания «Россия» обратилось в Судебную коллегию Верховного Суда Российской Федерации с кассационной жалобой на 2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суды, учитывая условия Генерального соглашения о предоставлении аэропортовых услуг и Положения о развитии маршрутных сетей авиакомпаний в аэропорту Пулково, пришли к выводу, что для целей расчета базы для начисления бонусного вознаграждения и определения процента скидки учитывается количество оборотных рейсов.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«Авиакомпания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