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«Фирма Валео» обратилось в Арбитражный суд Тульской области с иском о взыскании с индивидуального предпринимателя Самедова Вячеслава Каримовича убытков, вызванных утратой груза, в сумме 10 124 625 рублей. К участию в деле в качестве третьих лиц, не заявляющих самостоятельных требований относительно предмета спора, привлечены Ермолин Анатолий Николаевич, Щендрыгин Андрей Иванович и акционерное общество страховая компания «Пари». Решением Арбитражного суда Тульской области от 29.03.2019 иск удовлетворен. Постановлением Двадцатого арбитражного апелляционного суда от 08.10.2019 решение суда первой инстанции отменено, производство по делу прекращено. Постановлением Арбитражного суда Центрального округа от 29.01.2020 постановление арбитражного апелляционного суда отменено, дело направлено на новое рассмотрение в Двадцатый арбитражный апелляционный суд. 2 Постановлением Двадцатого арбитражного апелляционного суда от 01.06.2020 решение суда первой инстанции оставлено без изменения. Постановлением Арбитражного суда Центрального округа от 15.09.2020 решение суда первой инстанции и постановление апелляционного суда отменены, дело направлено на новое рассмотрение в суд первой инстанции. При новом рассмотрении дела решением Арбитражного суда Тульской области от 27.01.2021 иск удовлетворен. Постановлением Двадцатого арбитражного апелляционного суда от 29.03.2021 решение суда первой инстанции оставлено без изменения. Арбитражный суд Центрального округа постановлением от 01.10.2021 принятые при новом рассмотрении дела судебные акты отменил и в удовлетворении иска отказал. Общество с ограниченной ответственностью «Фирма Валео» обратилось в Судебную коллегию Верховного Суда Российской Федерации с кассационной жалобой на постановление окружного суда, ссылаясь на нарушение судом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Разрешая спор, окружной суд руководствовался положениями статей 195, 199, 197, 200 Гражданского кодекса Российской Федерации, статьей 42 Устава автомобильного транспорта и городского наземного электрического транспорта и пришел к выводу о пропуске истцом срока исковой давности, о применении которой заявлено ответчиком, что явилось основанием для отказа в удовлетворении иска. Доводы жалобы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319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Валео»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