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«Агропресс» (далее – Общество) обратилось в Арбитражный суд города Москвы с иском к ФИО1 о взыскании 1 200 000 рублей убытков. Решением Арбитражного суда города Москвы от 09.04.2021, оставленным без изменения постановлением Девятого арбитражного апелляционного суда от 24.06.2021 и постановлением Арбитражного суда Московского округа от 30.09.2021,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неразумные действия ответчика привели к выдаче необеспеченных займов.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в период с 24.07.2018 по 13.12.2019 ФИО1 являлся единоличным исполнительным органом Общества. Решением внеочередного собрания участников Общества полномочия ФИО1 были досрочно прекращены 13.12.2019. 06.06.2019 Обществом (займодавец) осуществлен банковский перевод в пользу общества с ограниченной ответственностью «Центр МИАСТРОЙ» (далее – Компания; заемщик) по договору процентного займа от 04.06.2019 № 1/2019 на сумму 1 000 000 рублей. Также 18.06.2019 Обществом (займодавец) осуществлен банковский перевод в пользу индивидуального предпринимателя ФИО2 (далее – Предприниматель; заемщик) по договору процентного займа от 18.06.2019 № 2/2019 на сумму 500 000 рублей. Вступившими в законную силу решением Арбитражного суда города Москвы от 01.12.2020 по делу № А40-160821/2020 с Компании в пользу Общества взыскана задолженность в размере 700 000 рублей, проценты за пользование займом с 06.06.2019 по 02.09.2020 в размере 69 819 рублей 96 копеек, проценты за пользование чужими денежными средствами с 26.05.2020 по 02.09.2020 в сумме 8 941 рубль 26 копеек, расходы по уплате государственной пошлины в размере 18 575 рублей. Кроме того, вступившими в законную силу решением Арбитражного суда Московской области от 18.12.2020 по делу № А41-57536/2020 с Предпринимателя в пользу Общества взыскано 500 000 рублей задолженности по возврату займа, 45 444 рубля 65 копеек процентов за пользование займом, 6386 рублей 61 копейка процентов за пользование чужими денежными средствами, а также 14 037 рублей расходов по оплате государственной пошлины. Ссылаясь на то, что договоры займов являются мнимыми, направленными на вывод ФИО1 денежных средств,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Закона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взыскания убытков, установив реальность заемных правоотношений, а также принятые ответчиком меры по взысканию в судебном порядке денежных средств.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«Агропресс»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"АГРОПРЕСС"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