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«Сервисреммаш» обратилось в Арбитражный суд города Москвы с уточненным иском о взыскании с общества с ограниченной ответственностью «Нафтагаз-Бурение» 5 059 257 рублей 48 копеек задолженности и 69 835 рублей 46 копеек неустойки за период с 08.05.2020 по 27.08.2020 по договору от 25.12.2014 №75/14, а также 98 861 рубля расходов по оплате услуг представителя и транспортных расходов. Решением Арбитражного суда города Москвы от 06.07.2021 иск удовлетворен в части взыскания 1 604 715 рублей 83 копеек задолженности, 26 061 рубля 21 копейки неустойки, 4 656 рублей 30 копеек расходов по уплате государственной пошлины и 31 670 рублей расходов по оплате юридических и транспортных услуг; в удовлетворении иска в остальной части отказано. Постановлением Девятого арбитражного апелляционного суда от 07.09.2021 решение суда первой инстанции оставлено без изменения. 2 Арбитражный суд Московского округа постановлением от 25.11.2021 указанные судебные акты оставил без изменения. Общество с ограниченной ответственностью «Сервисреммаш» обратилось в Судебную коллегию Верховного Суда Российской Федерации с кассационной жалобой на принятые по делу судебные акты,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требование истца в части, суды руководствовались положениями статей 15, 309, 310, 393, 407, 410, 779, 781 Гражданского кодекса Российской Федерации, разъяснениями, данными в пункте 12 постановления Пленума Верховного Суда Российской Федерации от 23.06.2015 №25 «О применении судами некоторых положений раздела I части первой Гражданского кодекса Российской Федерации», и исходили из прекращения в части обязательства ответчика перед истцом на основании заявления ответчика о зачете встречного однородного требования возместить причиненные истцом убытки, возникшие у ответчика в результате некачественного оказания услуг истцом, признав доказанным ответчиком факт причинения ему убытков действиями истца. Доводы жалобы, с учетом установленных судами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319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«Сервисреммаш»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