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«Элемент» обратилось в Арбитражный суд Ханты-Мансийского автономного округа - Югры с иском о взыскании с общества с ограниченной ответственностью «Интегра-Сервисы» 5 877 973 рублей 58 копеек задолженности по договору от 05.02.2019 № 69958 и 1 293 271 рубля 25 копеек договорной неустойки. Арбитражным судом Ханты-Мансийского автономного округа - Югры принят встречный иск общества с ограниченной ответственностью «Интегра- Сервисы» к обществу с ограниченной ответственностью «Элемент» о взыскании 10 922 696 рублей 09 копеек неосновательного обогащения. Решением Арбитражного суда Ханты-Мансийского автономного округа - Югры от 15.04.2021 первоначальный иск удовлетворен, в удовлетворении встречного иска отказано. Постановлением Восьмого арбитражного апелляционного суда от 23.07.2021 решение суда первой инстанции оставлено без изменения. 2 Арбитражный суд Западно-Сибирского округа постановлением от 21.10.2021 указанные судебные акты оставил без изменения. Общество с ограниченной ответственностью «Интегра-Сервисы»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признав доказанным факт оказания услуг и отсутствие доказательств их оплаты в полном объеме, руководствуясь положениями статей 309, 310, 329, 330, 753, 779, 781 Гражданского кодекса Российской Федерации, суды пришли к выводу об обоснованности первоначального иска. Оснований для применения статьи 333 Гражданского кодекса Российской Федерации судами не установлено. Отказывая в удовлетворении встречного иска, суды руководствовались статьями 1102, 1103, 1109 Гражданского кодекса Российской Федерации и исходили из недоказанности возникновения на стороне ответчика неосновательного обогащения ввиду отсутствия доказательств завышения исполнителем объема и стоимости оказанных услуг.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Довод жалобы о необоснованном отказе судом первой инстанции в применении положений статьи 333 Гражданского кодекса Российской Федерации приводился в судах апелляционной и кассационной инстанций, был рассмотрен судами и мотивированно отклонен.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«Интегра-Сервисы»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