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19.04.2021, оставленным без изменения постановлениями Второго арбитражного апелляционного суда от 08.07.2021 и Арбитражного суда Волго-Вятского округа от 28.09.2021, требования учреждения удовлетворены частично, пункты 1 и 2 оспариваемого решения (в части) признаны незаконными. Производство по делу в части требования о признании незаконным пункта 3 решения управления прекращено. В удовлетворении остальной части заявленных требований отказано. В кассационной жалобе учреждение ставит вопрос об отмене принятых по делу судебных актов в отношении выводов о наличии со стороны заказчика нарушений части 1 статьи 12, пункта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заказчика при проведении электронного аукциона на выполнение работ по капитальному ремонту кровли и фасада Центра «Олимп» антимонопольным органом принято решение о признании жалобы обоснованной, в действиях заказчика установлены нарушения законодательства о контрактной системе. Основанием для признания заказчика нарушившим положения части 1 статьи 12, пункта 2 части 1 статьи 64 Закона о контрактной системе послужил вывод управления о том, что действия заказчика, не допустившего претендентов к участию в аукционе по причине неуказания ими в составе заявки товаров, подлежащих использованию при проведении ремонта и их характеристик, являются неправомерными. Не согласившись с решением антимонопольного органа, учреждение обратилось в арбитражный суд с заявлением о признании его недействительным в части. Частично отказывая в удовлетворении заявления учреждения, суды, исследовав и оценив представленные доказательства и обстоятельства дела, руководствуясь положениями части 1 статьи 12, пункта 2 части 1 статьи 64, части 3 статьи 66 Закона о контрактной системе, приняв во внимание разъяснения Федеральной антимонопольной службы, изложенные в письме от 25.06.2020 № ИА/53616/20 «По вопросу установления требований к составу заявки (поставляемый, используемый товар)», пришли к выводу о том, что решение антимонопольного органа в части вывода о нарушении заказчиком части 1 статьи 12, пункта 2 части 1 статьи 64 Закона о контрактной системе не противоречит положениям действующего законодательства, не нарушает права и законные интересы заявителя. Судебные инстанции исходили из того, что требование заказчика об указании в первой части заявки на участие в электронном аукционе конкретных показателей товара, соответствующих значений, установленных в документации об электронном аукционе, устанавливается только в том случае, если в рамках закупки работ (услуг) осуществляется и поставка товара. При исследовании обстоятельств дела установлено, что предметом спорного электронного аукциона является проведение капитального ремонта кровли и фасада здания учреждения; для выполнения работ используются товары, которые по условиям контракта принадлежат подрядчику; порядок приемки работ, установленный в контракте, не предполагает отдельную передачу товара (материала), используемого при выполнении работ. Выводы судов в части удовлетворения заявления учреждением не оспариваются. Принимая во внимание изложенное и учитывая, что доводы кассационной жалобы основаны на неверном толковании норм права, повторяют позицию учреждения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оснований для пересмотра судебных актов в кассационном порядке не усматриваеся.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учреждению молодежно-спортивному центру «Олимп»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МОЛОДЕЖНО-СПОРТИВНЫЙ ЦЕНТР "ОЛИМП" (подробнее) Ответчики: Управление Федеральной антимонопольной службы по Ивановской области (подробнее) Иные лица: Администрация Ивановского муниципального района (подробнее) Арбитражный суд Волго-Вятского округа (подробнее) Верховный Суд Российской Федерации (подробнее) Второй Арбитражный апелляционный суд (подробнее) ООО "СибАгроТранс"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