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08.06.2021 заявленные требования удовлетворены. Постановлением Первого арбитражного апелляционного суда от 04.08.2021 решение суда первой инстанции отменено, в удовлетворении заявленных требований отказано. Постановлением Арбитражного суда Волго-Вятского округа от 14.10.2021 постановление суда апелляционной инстанции оставлено в силе. Общество в кассационной жалобе просит постановления судов апелляционной и кассационной инстанций отменить, считая их незаконными и необоснованными, решение суда первой инстанции оставить в силе.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Руководствуясь положениями статей 161, 162 Жилищного кодекса Российской Федерации,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Правил и норм технической эксплуатации жилищного фонда, утвержденных постановлением Госстроя Российской Федерации от 27.09.2003 № 170, Правил содержания общего имущества в многоквартирном доме, утвержденных постановлением Правительства Российской Федерации от 13.08.2006 № 491, суд апелляционной 3 инстанции отменил решение суда первой инстанции, в удовлетворении заявления отказал, признав наличие в действиях общества состава правонарушения, ответственность за совершение которого предусмотрена частью 2 статьи 14.13 Кодекса Российской Федерации об административных правонарушениях, установив факт непринятия управляющей компанией мер по надлежащему содержанию общего имущества многоквартирных домов, и не выявив нарушений процедуры привлечения к административной ответственности. Суды признали, что срок давности привлечения к ответственности соблюден, оснований для применения статьи 2.9 Кодекса Российской Федерации об административных правонарушениях не выявлено. Штраф назначен ниже низшего размера санкции нормы. Приведенные в жалобе доводы, идентичные изложенным в обоснование позиции заявителя при рассмотрении дела, подробно исследованы судами апелляционной и кассационной инстанций и им дана соответствующая правовая оценка, не согласиться с которой оснований не имеется.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