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23.03.2021 требование в размере 4 500 000 рублей включено в третью очередь реестра требований кредиторов должника. Девятый арбитражный апелляционный суд постановлением от 02.06.2021 определение от 23.03.2021 отменил и в удовлетворении заявления отказал. Арбитражный суд Московского округа постановлением от 23.09.2021 постановление апелляционного суда от 02.06.2021оставил без изменения. В кассационной жалобе Шидловский Д.Г. просит об отмене судебных актов апелляционного и окружного судов, ссылаясь на ненадлежащую оценку обстоятельств предоставления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проверил заявленное требование на соответствие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установил его необоснованность для включения в реестр. Представленные в обоснование заявления доводы и доказательства оценены судом и иная их оценка заявителем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Шидловскому Д.Г.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