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14.06.2021, оставленным без изменения постановлением Тринадцатого арбитражного апелляционного суда от 28.07.2021 и постановлением Арбитражного суда Северо-Западного округа от 23.09.2021, иск оставлен без рассмотрения на основании пункта 1 части 1 статьи 148 Арбитражного процессуального кодекса Российской Федерации. В кассационной жалобе предприятие просит отменить судебные акты,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установлено наличие в производстве Арбитражного суда города Санкт-Петербурга и Ленинградской области дела № А56-20745/2021 о тех же предмете и основаниях, в отношении которых заявлен рассматриваемый иск. Таким образом, настоящий иск оставлен без рассмотрения по законному основанию. Наличие процессуальных нарушений, могущих повлиять на судьбу судебных актов в кассационном производстве,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Промышленно-энергетические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