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11.02.2021, оставленным без изменения постановлением Восемнадцатого арбитражного апелляционного суда от 18.06.2021, должник обязан предоставить конкурсному управляющему правоустанавливающую документацию на определенные здания и сооружения, договор купли-продажи от 01.10.2010, заключенный между Насыровым С.Ф. и Аюповым Н.В., признан недействительной сделкой с обязанием Аюпова Н.В. возвратить имущество в конкурсную массу. Арбитражный суд Уральского округа постановлением от 29.09.2021 определение от 11.02.2021 и постановление апелляционного суда от 18.06.2021 оставил без изменения. 2 В кассационных жалобах Насыров С.Ф. и Аюпов Н.В. просят об отмене судебных актов, ссылаясь на неустановление и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Установленное судами фактическое невыбытие имущества из владения должника признано признаком мнимости оспариваемого договора купли- продажи от 01.10.2010 (статья 170 Гражданского кодекса Российской Федерации). В пределах рассматриваемого спора решался вопрос о собирании конкурсной массы, не затрагивающем прав супруги должника, на нарушение которых он ссылается в качестве довода кассационной жалобы.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предпринимателю-главе крестьянского (фермерского) хозяйства Насырову С.Ф. и гражданину Аюпову Н.В.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