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заявления определением Арбитражного суда города Санкт-Петербурга и Ленинградской области от 29.12.2020, оставленным без изменения постановлением Тринадцатого арбитражного апелляционного суда от 11.05.2021 и постановлением Арбитражного суда Северо-Западного округа от 12.10.2021, заявление удовлетворено. В кассационной жалобе Шигаев Э.А. просит об отмене судебных актов, ссылаясь на процессуальные нарушения и пропуск срока исковой давности.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обстоятельства совершения платежа и признали их создающими условия для его недействительности в силу статей 10, 168 Гражданского кодекса Российской Федерации. Принятые в 2018 году в рассматриваемом деле о банкротстве судебные акты в отношении исключения из реестра требования ООО «Монтажстройсервис» как преемника заимодавца, инициировавшего банкротство должника, на которые ссылается заинтересованное лицо, не влияют на оценку оспариваемого платежа, юридическая сила которого проверяется на соответствие закону, действовавшему в момент совершения (2013 год). Срок исковой давности, предусмотренный пунктом 1 статьи 181 Гражданского кодекса Российской Федерации, исчислен по правилу для подачи заявления об оспаривании сделки финансовым управляющим.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Шигаеву Эдуарду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