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10.02.2021, оставленным без изменения постановлением Одиннадцатого арбитражного апелляционного суда от 10.06.2021, первоначальный иск удовлетворен, в удовлетворении встречного иска отказано. Арбитражный суд Поволжского округа постановлением от 21.09.2021 решение от 10.02.2021 и постановление Одиннадцатого арбитражного апелляционного суда от 10.06.2021 оставил без изменения. В кассационной жалобе общество просит об отмене судебных актов, ссылаясь на поступление документов, подтверждающих оказание услуг, после вынесения резолютивной части решения от не привлеченного к участию в деле лица и лишение возможности заявить о фальсификации доказательств.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Из содержания обжалуемых судебных актов следует, что доказательства исследовались судом первой инстанции в копиях, и сделанное обществом заявление о их фальсификации рассмотрено; после принятия резолютивной части решения поступили подлинники исследованных документов. Вопросы доказывания и оценки доказательств, на которых построены доводы жалобы, отнесены к компетенции суда первой инстанции, установившего принятие обществом оказанных услуг посредством подписания и заверения печатью путевых листов. Доводы общества не опровергают установленных судами обстоятельств исполнения сторонами обязательств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«Строй-Стандарт»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