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26.12.2020 заявленные требования удовлетворены частично, оспариваемое постановление антимонопольного органа изменено в части назначенного наказания, штраф определен в размере 589 474 рублей 05 копеек. Общество обратилось в Восемнадцатый арбитражный апелляционный суд с апелляционной жалобой на решение суда первой инстанции. Постановлением Восемнадцатого арбитражного апелляционного суда от 25.02.2021 решение суда первой инстанции изменено, оспариваемое постановление антимонопольного органа изменено в части назначенного наказания, штраф определен в размере 707 368 рублей 88 копеек. Постановлением Арбитражного суда Уральского округа от 08.06.2021 постановление апелляционного суда оставлено без изменения, кассационная жалоба общества без удовлетворения. Общество обратилось в Верховный Суд Российской Федерации с кассационной жалобой, в которой просит постановления апелляционного суда и суда округа отменить полностью, решение суда первой инстанции изменить, снизив штраф до 100 000 рублей. Письмом судьи Верховного Суда Российской Федерации от 22.09.2021 были истребованы материалы дела из Арбитражного суда Республики Башкортостан.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судебных актов, решением антимонопольного органа от 23.10.2019 № 002/01/16-881/2019 общество признано нарушившим пункт 4 статьи 16 Федерального закона от 26.07.2006 № 135-ФЗ «О защите конкуренции», установлен факт заключения недопустимого в соответствии с антимонопольным законодательством Российской Федерации соглашения.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4 статьи 14.32 Кодекса Российской Федерации об административных правонарушениях. Не согласившись с постановлением по делу об административном правонарушении, общество оспорило его в арбитражном суде. Частью 4 статьи 14.32 Кодекса Российской Федерации об административных правонарушениях установлена административная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Оценив представленные доказательства, руководствуясь положениями Федерального закона от 26.07.2006 № 135-ФЗ «О защите конкуренции», Кодекса Российской Федерации об административных правонарушениях, суды трех инстанций признали наличие в действиях общества состава правонарушения, ответственность за которое предусмотрена частью 4 статьи 14.32 Кодекса Российской Федерации об административных правонарушениях, однако, проверив правильность расчета штрафа судом первой инстанции, суд апелляционной инстанции определил иной его размер с учетом обстоятельства, отягчающего административную ответственность общества, в результате чего размер штрафа увеличился. Суд округа согласился с расчетом размера штрафа, определенного судом апелляционной инстанции. Обжалуя судебные акты в Верховный Суд Российской Федерации, общество приводит доводы о существенных нарушениях судами апелляционной и кассационной инстанций норм процессуального права, повлиявших на исход дела. Так, в частности, общество приводит доводы о том, что, обращаясь в Восемнадцатый арбитражный апелляционный суд с апелляционной жалобой, общество в соответствии со статьей 46 Конституции Российской Федерации и частью 1 статьи 4 Арбитражного процессуального кодекса Российской Федерации воспользовалось своим правом на судебную защиту. Согласно части 5 статьи 268 Арбитражного процессуального кодекса Российской Федерации арбитражный суд апелляционной инстанции осуществляет проверку судебного акта в пределах, определяемых апелляционной жалобой. Между тем, арбитражный суд апелляционной инстанции, проверяя решение суда первой инстанции в части назначения административной санкции без учета отягчающего ответственность обстоятельства, вышел за пределы рассмотрения апелляционной жалобы общества, ухудшив положение лица по сравнению с тем, чего оно добилось в суде первой инстанции. При этом административный орган с апелляционной жалобой не обращался. Суд округа указанную ошибку не исправил.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«Аврора плюс»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Судьи дела: Першутов А.Г. (судья) (подробнее) Последние документы по делу: Резолютивная часть определения от 19 января 2022 г. по делу № А07-25147/2020 Определение от 24 января 2022 г. по делу № А07-25147/2020 Определение от 3 декабря 2021 г. по делу № А07-25147/2020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