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его конкурсный управляющий Горева Ольга Евгеньевна обратилась в суд с заявлением о разрешении разногласий, возникших между ней и представителем работников должника Моховым Г.М., по вопросу определения очерёдности выплаты последнему вознаграждения. Определением Арбитражного суда Кировской области от 20.02.2021, оставленным без изменения постановлениями Второго арбитражного апелляционного суда от 12.05.2021 и Арбитражного суда Волго-Вятского округа от 13.09.2021, разногласия разрешены. Определено, что требования представителя работников должника подлежат удовлетворению в составе требований пятой очереди текущих платежей.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отнесении его требований ко второй очереди текущих платежей.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разногласия, суды, руководствуясь статьями 2, 12.1, 59, 134 Федерального закона от 26.10.2002 № 127-ФЗ «О несостоятельности (банкротстве)», исходили из того, что представитель работников должника вправе претендовать на погашение своего вознаграждения в составе требований пятой очереди текущих платежей.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представителю работников акционерного общества «Кирово- Чепецкое управление строительства» Мохову Геннадию Митрофановичу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