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Республики Татарстан от 19.03.2021 в удовлетворении заявления отказано. Одиннадцатый арбитражный апелляционный суд постановлением от 07.07.2021 отменил определение от 19.03.2021 и включил требование на сумму в 4 817 991 рубля 41 копейки в третью очередь реестра. Арбитражный суд Поволжского округа постановлением от 19.10.2021 постановление Одиннадцатого арбитражного апелляционного суда от 07.07.2021 оставил без изменения. В кассационной жалобе Нутфуллин И.И. просит об отмене судебных актов апелляционного и окружного судов, ссылаясь на установление судом первой инстанции отсутствия между кредитором и должником правоотношений по займу.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 применительно к критериям установления обоснованности требования к должнику и руководствовавшийся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спорное требование надлежаще подтвержденным. Вопреки доводам жалобы суд установил получение и расходование должником спорной суммы.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Нутфуллину И.И.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