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«Агент» (далее - ООО «Агент») обратилось в Арбитражный суд Ивановской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«Ивановский Автокомплекс» (далее - ООО «Ивановский Автокомплекс») 463 390 рублей убытков в результате некачественно выполненных работ по договору от 13.02.2017 № ТО/СО/2-2/17. Арбитражным судом Ивановской области принят встречный иск ООО «Ивановский Автокомплекс», уточненный в порядке статьи 49 Арбитражного процессуального кодекса Российской Федерации, о взыскании с ООО «Агент» 76 467 рублей задолженности и 41 937 рублей 67 копеек неустойки, а также 186 500 рублей судебных издержек. Решением Арбитражного суда Ивановской области от 30.04.2021 первоначальный иск удовлетворен в части взыскания 371 850 рублей, в удовлетворении первоначального иска в остальной части отказано. Встречный 2 иск удовлетворен в части взыскания 65 264 рублей 67 копеек и 47 025 рублей судебных издержек, в удовлетворении встречного иска в остальной части отказано. В результате зачета с ООО «Ивановский Автокомплекс» в пользу ООО «Агент» взыскано 306 585 рублей 33 копейки, 7 826 рублей расходов по уплате государственной пошлины и 29 400 рублей судебных издержек. С ООО «Агент» в пользу ООО «Ивановский Автокомплекс» взыскано 47 025 рублей судебных издержек. Постановлением Второго арбитражного апелляционного суда от 06.08.2021 решение суда первой инстанции оставлено без изменения. Арбитражный суд Волго-Вятского округа постановлением от 18.10.2021 указанные судебные акты оставил без изменения. Общество с ограниченной ответственностью «Ивановский Автокомплекс»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заключение судебной экспертизы, признав доказанными факт поломки транспортного средства, наличие причинно- следственной связи между некачественными ремонтными работами и возникшей поломкой транспортного средства, размер понесенных убытков, руководствуясь статьями 15, 309, 310, 393, 779, 781 Гражданского кодекса Российской Федерации,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пункте 5 постановления Пленума Верховного Суда Российской Федерации от 24.03.2016 № 7 3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обоснованности первоначального иска в части. Удовлетворяя встречные требования в части, суды исходили из доказанности факта оказания услуг по обслуживанию и ремонту транспортного средства, исключив стоимость некачественно выполненных работ.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Доводы жалобы о недопустимости принятия в качестве доказательства экспертного заключения по сути сводятся к оспариванию результатов судебной экспертизы,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«Ивановский Автокомплекс»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