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Чувашской Республики – Чувашии от 03.08.2021, оставленным без изменения постановлением Первого арбитражного апелляционного суда от 14.10.2021, заявление принято к производству, возбуждено производство по делу, назначено судебное заседание по проверке обоснованности заявления. В кассационной жалобе Кузьмин А.В. просит об отмене судебных актов, ссылаясь на отсутствие признаков банкротства и неотносимость взысканного ущерба к таким признакам.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Установив соблюдение законных условий для подачи заявления, суды приняли его к производству в соответствии со статьями 32, 33, 39, 40, 42 Федерального закона от 26.10.2002 № 127-ФЗ «О несостоятельности (банкротстве)». Наличие долга подтверждено судебным актом, указанная в котором правовая природа требуемой к взысканию суммы после ее присуждения значения при определении приемлемости заявления о банкротстве не имеет.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Кузьмину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