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Четвертого арбитражного апелляционного суда от 17.06.2021, оставленным без изменения постановлением Арбитражного суда Восточно-Сибирского округа от 15.09.2021, апелляционная жалоба на определение Арбитражного суда Иркутской области от 27.04.2021 возвращена кредитору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срока. В кассационной жалобе Тарабукин П.М. просит о пересмотре судебных актов в отношении возвращения апелляционной жалобы, ссылаясь на неправильное исчисление срока на подачу апелляционной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Рассмотрев ходатайство о восстановлении срока подачи апелляционной жалобы, апелляционный суд установил отсутствие у заявителя объективных препятствий для обращения с апелляционной жалобой в отведенный законом срок. На ошибочное исчисление кредитором срока на апелляционное обжалование определения от 27.04.2021 об отказе в удовлетворении заявления о включении требования в реестр, подачу первоначальной жалобы с нарушением срока мотивированно указано окружным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Тарабукину Павлу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