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Волгоградской области от 26.04.2021, оставленным без изменения постановлением Двенадцатого арбитражного апелляционного суда от 16.06.2021 и постановлением Арбитражного суда Поволжского округа от 16.09.2021, заявление удовлетворено. В кассационной жалобе Панков А.Г. просит об отмене судебных актов, ссылаясь на отсутствие условий для признания сделки недействительной по общим нормам гражданского законодательства, пропуск финансовым управляющим срока исковой давности. В силу части 1 статьи 291.11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К оспариванию в делах о банкротстве сделок применимы общие нормы гражданского законодательства об основаниях недействительности сделок и такие основания (статьи 10, 168 Гражданского кодекса Российской Федерации) установлены судами в рассматриваемом споре. Для признания сделок недействительными по указанным основаниям применяется срок исковой давности, предусмотренный пунктом 1 статьи 181 Гражданского кодекса Российской Федерации, начало течения которого для финансового управляющего определено по правилу статьи 200 Кодекса и соблюдение которого управляющим установлено судами.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Панкову Александру Георгиевичу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