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заявления определением Арбитражного суда города Санкт-Петербурга и Ленинградской области от 17.07.2020 в удовлетворении заявления отказано. Постановлением Тринадцатого арбитражного апелляционного суда от 24.05.2021, оставленным без изменения постановлением Арбитражного суда Северо-Западного округа от 28.10.2021, определение от 17.07.2020 отменено, заявление удовлетворено. В кассационной жалобе Шигаева А.И. просит об отмене судебных актов, ссылаясь на процессуальные нарушения и предоставление защиты злоупотребившему правом кредитору, отсутствие условий для признания сделки недействительной.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совершения платежа и признали их создающими условия для недействительности сделки в силу статей 10, 168 Гражданского кодекса Российской Федерации. Принятые в 2018 году в рассматриваемом деле о банкротстве судебные акты в отношении исключения из реестра требования ООО «Монтажстройсервис» как преемника кредитора, инициировавшего банкротство должника, на которые ссылается заинтересованное лицо, не влияют на оценку оспариваемого платежа, юридическая сила которого проверяется на соответствие закону, действовавшему в момент совершения (2012 год). Оспаривание платежа инициировано финансовым управляющим, поэтому довод о предоставлении защиты обозначенному кредитору является неосновательным.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Шигаевой Анжелике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