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«Международные негабаритные перевозки» (далее - общество) обратилось в Арбитражный суд Воронежской области с исковым заявлением, уточненным в порядке статьи 49 Арбитражного процессуального кодекса Российской Федерации, к индивидуальному предпринимателю Панявину Валерию Михайловичу (далее - Панявин В.М.) о взыскании стоимости переданных прав по соглашениям о передаче прав по договорам лизинга в размере 46 493 000 руб.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«СТОУН-XXI». Решением Арбитражного суда Воронежской области от 22.01.2021 в удовлетворении исковых требований отказано. Постановлением Девятнадцатого арбитражного апелляционного суда от 29.07.2021 решение суда первой инстанции отменено, исковые требования удовлетворены. 2 Постановлением Арбитражного суда Центрального округа от 29.10.2021 постановление суда апелляционной инстанции оставлено без изменения. В кассационной жалобе, поданной в Верховный Суд Российской Федерации, Панявин В.М., ссылаясь на нарушение судами апелляционной инстанции и округа норм права, просит отменить их постановления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действительная выкупная цена предмета лизинга вошла в состав периодических лизинговых платежей и оплачена первоначальным лизингополучателем (обществом), условия соглашений о передаче прав по спорным договорам лизинга свидетельствуют об их возмездности, соглашение о размере встречного предоставления за уступленные права по договорам лизинга сторонами не заключено, определив по результатам судебной экспертизы рыночную стоимость полученного ответчиком права, руководствуясь положениями статей 382, 423, 424, 624, 665 Гражданского кодекса Российской Федерации, статьей 19 Федерального закона от 29.10.1998 № 164-ФЗ «О финансовой аренде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суд апелляционной инстанции пришел к выводу о наличии оснований для удовлетворения заявленных требований, с чем впоследствии согласился суд округа. Доводы заявителя были предметом рассмотрения суда округа и получили соответствующую правовую оценку. Доводы кассационной жалобы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3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рассмотрению не подлежит.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Панявина Валерия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