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25.11.2020 исковые требования удовлетворены частично, применены последствия недействительности ничтожной сделки путём возложения на департамент обязанности по возмещению обществу 2 239 300 рублей 91 копейки стоимости выполненных работ. В удовлетворении требования о взыскании 13 000 рублей возмещения судебных расходов на оплату услуг представителя отказано. Постановлением Третьего арбитражного апелляционного суда от 13.04.2021 решение суда первой инстанции отменено, в удовлетворении иска отказано. Арбитражный суд Восточно-Сибирского округа постановлением от 07.10.2021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существенные нарушения норм материального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(заказчик) и обществом (подрядчик) заключён муниципальный контракт на выполнение работ по усилению стен и простенков блоков 1, 2 и 3 здания школы. Вступившим в законную силу решением Арбитражного суда Республики Тыва от 05.12.2019 по делу № А69-2302/2019 спорный контракт признан недействительным в силу ничтожности, как заключённый в отсутствие необходимых публичных процедур. Неоплата фактически выполненных строительно–монтажных работ послужила основанием для обращения общества в арбитражный суд. Удовлетворяя требование общества о применении последствий недействительности ничтожной сделки путём возложения на департамент обязанности по возмещению истцу 2 239 300 рублей 91 копейки стоимости выполненных работ, суд первой инстанции исходил из того, что на стороне департамента возникла обязанность возместить стоимость фактически выполненных работ в порядке применения последствий недействительности соответствующей сделки, ввиду признания спорного муниципального контракта недействительной сделкой. Отменяя решение суда первой инстанции,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20 Обзора судебной практики по вопросам, связанным с применением Федерального закона от 18.07.2011 № 223-ФЗ «О закупках товаров, работ, услуг отдельными видами юридических лиц», пришел к выводу об отсутствии оснований для удовлетворения иска. При этом суд апелляционной инстанции исходил из того, что выполнение работ в целях удовлетворения муниципальных нужд на основании ничтожного муниципального контракта, заключенного в отсутствие необходимых публичных процедур, не порождает у подрядчика право требовать оплаты выполненных работ. Суд округа поддержал выводы суда апелляционной инстанции. Доводы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«Юность»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"Юность" (подробнее) Ответчики: ДЕПАРТАМЕНТ АРХИТЕКТУРЫ, ГРАДОСТРОИТЕЛЬСТВА И ЗЕМЕЛЬНЫХОТНОШЕНИЙ МЭРИИ ГОРОДА КЫЗЫЛА (подробнее) Иные лица: Мэрия города Кызыла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