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06.04.2021, оставленным без изменения постановлением Двенадцатого арбитражного апелляционного суда от 02.06.2021, в удовлетворении заявления отказано. Постановлением Арбитражного суда Поволжского округа от 29.09.2021 указанные судебные акты оставлены без изменения. Общество просит отменить принятые по делу судебные акты,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автобуса для осуществления регулярных перевозок пассажиров при отсутствии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в материалы дела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Федерального закона от 08.11.2007 № 259-ФЗ «Устав автомобильного транспорта и городского наземного электрического транспорта» суды признали наличие в действиях общества состава правонарушения, ответственность за совершение которого предусмотрена частью 4 статьи 11.33 КоАП РФ, исходя из установленных обстоятельств, свидетельствующих о регулярности осуществляемых обществом перевозок 3 пассажиров с использованием автобуса при отсутствии карты маршрута регулярных перевозок. Процедура и срок давности привлечения к административной ответственности соблюдены, оснований для применения положений статьи 2.9, части 3.2 статьи 4.1 КоАП РФ судами не выявлено. Доводы жалобы заявителя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Вопреки доводам жалобы,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