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16.04.2021, оставленным без изменения постановлением Седьмого арбитражного апелляционного суда от 08.07.2021, в удовлетворении заявления отказано. Арбитражный суд Западно-Сибирского округа постановлением от 20.09.2021 названные судебные акты отменил, дело направил на новое рассмотрение в Арбитражный суд Кемеровской области. В кассационной жалобе общество ссылается на нарушение судом кассационной инстанции норм права при вынесении обжалуемого постановления об отмене судебных актов и направлении дела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начисления спорных сумм налогов, пени и налоговых санкций явились результаты проведенной инспекцией выездной налоговой проверки в отношении общества по вопросам правильности исчисления и уплаты всех налогов за период с 01.01.2016 по 31.12.2017. Инспекцией на основании решения о привлечении к ответственности за совершение налогового правонарушения налогоплательщику выставлены требования об уплате налога, сбора, страховых взносов, пени, штрафа, процентов. Неисполнение налогоплательщиком требований инспекции в установленный срок послужило основанием для обращения налогового органа в арбитражный суд. Отказывая в удовлетворении заявленных требований, суды первой и апелляционной инстанций исходили из пропуска инспекцией установленного пунктом 3 статьи 46 Налогового кодекса Российской Федерации (далее – Налоговый кодекс) шестимесячного срока на обращение в суд с требованием о взыскании обязательных платежей и санкций. При этом суды пришли к выводу о необходимости исчисления срока производства по делу о налоговом правонарушении без учета времени, потраченного инспекцией на рассмотрение требований, жалоб и заявлений налогоплательщика, заявленных им после составления дополнений к акту выездной налоговой проверки. Отменяя принятые по делу судебные акты и направляя дело на новое рассмотрение, суд кассационной инстанции пришел к выводу о неправильном применение судами норм права применительно к установленным по делу обстоятельствам и представленным в материалы дела доказательствам. В частности, суд округа установил, что у судов отсутствовали основания для вывода о пропуске налоговым органом срока обращения в суд с требованием о взыскании, поскольку нарушение длительности проведения налоговой проверки (срока вынесения решения по ее результатам) не привело к нарушению шестимесячного срока на обращение в суд с требованием о взыскании налоговой задолженности, установленного пунктом 3 статьи 46 Налогового кодекса. 3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Доводы кассационной жалобы не свидетельствуют о существенном нарушении судом округа норм права при вынесении обжалуемого судебного акта и не могут быть признаны основанием для его отмены в кассационном порядке.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доказательства, обосновывающие свою правовую позицию по делу.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«Топ Роуд 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