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17.02.2021 включено в третью очередь реестра требование в размере 40 014 354 рублей 68 копеек, проценты за пользование чужими денежными средствами в размере 8 148 094 рублей 06 копеек признаны подлежащими удовлетворению за счет имущества должника, оставшегося после удовлетворения требований кредиторов, включенных в реестр; в удовлетворении заявления финансового управляющего отказано. Пятый арбитражный апелляционный суд постановлением от 27.07.2021 изменил определение суда от 17.02.2021: требование в размере 40 001 477 рублей 53 копеек задолженности признал подлежащим включению в третью очередь реестра, требование в размере 8 148 094рублей 06 копеек процентов за пользование чужими денежными средствами признал 2 подлежащим удовлетворению за счет имущества должника, оставшегося после удовлетворения требований кредиторов, включенных в реестр; в удовлетворении требований Самохвалова А.Ю. в остальной части и заявления финансового управляющего отказал. Арбитражный суд Дальневосточного округа постановлением от 23.09.2021 постановление апелляционного суда от 27.07.2021 оставил без изменения. В кассационной жалобе Наумец С.Ф. просит об отмене судебных актов, ссылаясь на оставление без оценки доводов в обоснование недействительности договора и необходимости назначения экспертизы для их подтверждения.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заявленные к включению в реестр требования обоснованными в силу подтвержденности их решением суда общей юрисдикции и соответствия критериям статей 71, 100, 137 Федерального закона от 26.10.2002 № 127-ФЗ «О несостоятельности (банкротстве)», статьям 16, 69 Арбитражного процессуального кодекса Российской Федерации. Возражения о мнимости сделки являлись предметом рассмотрения апелляционного суда и получили надлежащую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Наумцу Р.Т.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