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14.05.2021, оставленным без изменения постановлениями Девятого арбитражного апелляционного суда от 16.08.2021 и Арбитражного суда Московского округа от 26.10.2021, в удовлетворении заявления отказано. В кассационной жалобе, поданной в Верховный Суд Российской Федерации, и дополнении к ней ООО «Сибмер»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Федеральной антимонопольной службы по Новосибирской области (далее – антимонопольный орган) от 24.07.2020 по делу № 054/01/11-43/2020 в действиях ООО «Сибмер» и ООО «Радиационная техника» установлен факт нарушения пункта 2 части 1 статьи 11 Федерального закона от 26.07.2006 № 135-ФЗ «О защите конкуренции» (далее - Закон о защите конкуренции), выразившегося в заключении и реализации антиконкурентного соглашения при проведении открытых электронных аукционов. Выдано предписание о прекращении нарушения антимонопольного законодательства. По результатам рассмотрения жалобы ООО «Сибмер» на указанные ненормативные правовые акты антимонопольного органа управлением принято решение о необходимости передачи материалов дела № 054/01/11-43/2020 о нарушении антимонопольного законодательства, касающихся части открытых электронных аукционов, в ФАС России для приобщения к делу № 22/01/11-19/2020 о нарушении антимонопольного законодательства по признакам заключения и реализации антиконкурентных соглашений между ООО «Сибмер», ООО «Радиационная техника» и иными хозяйствующими субъектами. ООО «Сибмер» полагая, что решение управления не соответствует закону и нарушает его права и законные интересы в сфере предпринимательской и иной экономической деятельности, обратилось в арбитражный суд с требованием о признании его незаконным. Исследовав и оценив представленные в материалы дела доказательства, руководствуясь положениями частей 10, 11 статьи 23 Закона о защите конкуренции, приказом ФАС России от 07.04.2016 № 422/16 «О Порядке работы коллегиальных органов Федеральной антимонопольной службы», суды пришли к выводу об отсутствии оснований для удовлетворения заявленного требования. Судебные инстанции исходили из законности оспариваемого решения ФАС России и отсутствия нарушения прав и интересов заявителя. 3 При исследовании обстоятельств дела не установлено нарушений процедуры рассмотрения управлением жалобы ООО «Сибмер». Доводы, изложенные в кассационной жалобе, повторяют позицию заявителя по спору, не опровергают их выводы, сделанные на основании правильного применения норм права к установленным обстоятельствам дела. По существу доводы жалобы выражают несогласие с выводами судов ввиду иного толкования положений законодательства,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