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Денис И.И. обратился в суд с заявлением о взыскании с должника процентов по вознаграждению конкурсного управляющего в размере 372 793 рубля 80 копеек, расходов на проведение процедуры конкурсного производства в размере 618 755 рублей 44 копейки, проведении зачёта взаимных требований на сумму 539 339 рублей 80 копеек и выдачи арбитражному управляющему исполнительного листа на сумму расходов в размере 79 415 рублей 64 копейки. Определением Арбитражного суда Орловской области от 05.04.2021, оставленным без изменения постановлениями Девятнадцатого арбитражного апелляционного суда от 07.07.2021 и Арбитражного суда Центрального округа от 11.10.2021,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131 и 142 Федерального закона от 26.10.2002 № 127-ФЗ «О несостоятельности (банкротстве)», установив, что Денис И.И. в течение всей процедуры ненадлежащим образом, недобросовестно исполнял свои обязанности конкурсного управляющего должником, пришли к выводу об отсутствии причин для удовлетворения требований по заявленным основаниям, указав, в том числе на установленное в рамках иных обособленных споров неоднократное совершение последним нарушений законодательства о несостоятельности, а также на то, что понесённые расходы уже были компенсированы заявителю в полном объёме.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Денису Игорю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