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истребовании имущества должника у бывших руководителей последнего – Парахина Геннадия Павловича, Полякова Алексея Валерьевича, Дудкина Александра Анатольевича. Определением Арбитражного суда Орловской области от 24.08.2020 требования к Парахину Г.П. удовлетворены, отказано в удовлетворении требований к Полякову А.В. и Дудкину А.А. Впоследствии при рассмотрении апелляционной жалобы Девятнадцатый арбитражный апелляционный суд перешёл к рассмотрению спора по правилам, установленным для рассмотрения дела в арбитражном суде первой инстанции. В ходе рассмотрения заявления в суде апелляционной инстанции конкурсный управляющий должником уточнил заявленные требования и просил истребовать у Парахина Г.П. следующее имущество должника: автомобиль AUDI Q7, VIN WAUZZZ4L69D036557; автомобиль AUDI Q7, VIN WAUZZZ4L69D036509; погрузчик универсальный малогабаритный ПУМ-500А; кабель укладчик вибрационный гидравлический модели КВГ-1; аппарат для сварки пластиковых труб Turan Makita AL 500; генератор Elitech БЭС 12000 ЕТ. Постановлением Девятнадцатого арбитражного апелляционного суда от 16.08.2021, оставленным без изменения постановлением Арбитражного суда Центрального округа от 12.11.2021, принят отказ конкурсного управляющего от 2 требований к Дудкину А.А. и Полякову А.В., производство по заявлению в этой части прекращено, в остальной части определение суда первой инстанции отменено, отказано в удовлетворении заявленных требований.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статьи 308.3 Гражданского кодекса Российской Федерации, статьи 126 Федерального закона от 26.10.2002 № 127-ФЗ «О несостоятельности (банкротстве)», исходил из недоказанности наличия причин для удовлетворения требований конкурсного управляющего к Прахину Г.П. по заявленным основаниям.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права, влекущих за собой безусловную отмену указанных судебных актов, судами апелляционной инстанции и округа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«ТелекомСтройСервис» Литвину Виталию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