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Свердловской области от 24.03.2021, оставленным без изменения постановлениями Семнадцатого арбитражного апелляционного суда от 26.05.2021 и Арбитражного суда Уральского округа от 20.09.2021, произведена замена кредитора должника – публичного акционерного общества «Сбербанк России» в реестре требований кредиторов должника на общество с ограниченной ответственностью «Юридические гарантии» (далее – общество) на сумму требований 30 299 152 рубля 66 копеек как обеспеченных залогом имущества должника. В кассационной жалобе, поданной в Верховный Суд Российской Федерации, заявитель просит истребовать дела № А60-27498/2018 и № А60-20701/2019 из Арбитражного суда Свердловской области, отменить названные постановления судов апелляционной инстанции и округа, направить дело на новое рассмотрение. Исходя из содержания настоящей жалобы, заявитель не согласен также с определением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48 Арбитражного процессуального кодекса Российской Федерации, статьи 382 и 384 Гражданского кодекса Российской Федерации, исходили из отсутствия оснований для отказа в удовлетворении заявления общества о замене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Шейкину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