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26.04.2021, оставленным без изменения постановлением Одиннадцатого арбитражного апелляционного суда от 29.06.2021 и постановлением Арбитражного суда Поволжского округа от 05.10.2021,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ненадлежащего исполнения предпринимателем обязанности по внесению арендной платы по спорному договору в заявленный управлением период, руководствуясь статьями 309, 310, 330, 395, 606, 614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Орловой Ольги Петровны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