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30.03.2021, оставленным без изменения постановлением Одиннадцатого арбитражного апелляционного суда от 23.06.2021 и постановлением Арбитражного суда Поволжского округа от 29.09.2021, с предпринимателя в пользу предприятия 2 взыскано 1 136 109 руб. 19 коп. задолженности, 133 169 руб. 81 коп. пеней по состоянию на 13.11.2020, а также пени с 14.11.2020 по день фактической оплаты задолженности в размере 0,023% от суммы задолженности за каждый день просрочки. В удовлетворении исковых требований в остальной части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пользования предпринимателем спорными нежилыми помещениями и наличие у него задолженности по арендной плате (постоянной и переменной частям) за заявленный предприятием период, принимая во внимание отсутствие доказательств ее погашения, руководствуясь статьями 309, 310, 329, 330, 606, 614 Гражданского кодекса Российской Федерации, суды первой и апелляционной инстанций пришли к выводу о наличии оснований для частичного удовлетворения исковых требований (с учетом снижения размера пеней по правилам статьи 333 Гражданского кодекса Российской Федерации),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Орловой Ольги Петровны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