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10.02.2021, оставленным без изменения постановлением Девятого арбитражного апелляционного суда от 25.05.2021, в удовлетворении требований по первоначальному и встречному искам отказано. Постановлением Арбитражного суда Московского округа от 29.09.2021 указанные судебные акты оставлены без изменения. Общество «Инновационный центр энергоэффективных решений» в кассационной жалобе просит отменить состоявшиеся по делу судебные акты в части отказа в первоначальном иске, считая их незаконными и необоснованными в указанной части.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Изучив изложенные в жалобе доводы и принятые по делу судебные акты,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Оценив представленные доказательства, руководствуясь положениями статей 309, 310, 424, 431, 432, 702, 743, 753 Гражданского кодекса Российской Федерации, установив, что спорные работы не входили в предмет договора, дополнительные соглашения на выполнение работ не заключались, представленные истцом доказательства не подтверждают согласование работ 3 сверх установленной в договоре цены, суды признали необходимым соблюдение в рассматриваемом случае конкурентных процедур, предусмотренных Федеральным законом от 18.07.2011 № 223-ФЗ «О закупках товаров, работ, услуг отдельными видами юридических лиц», не усмотрев оснований для удовлетворения первоначального иска. Доводы кассационной жалобы не могут служить основанием для передачи жалобы на рассмотрение в порядке кассационного производства Судебной коллегией по экономическим спорам Верховного Суда Российской Федерации, поскольку по существу направлены на переоценку доказательств и оспаривание выводов судов по обстоятельствам дела. Приведенные в жалобе доводы не подтверждают существенных нарушений судами норм материального и (или) процессуального права, которые могли повлиять на исход дела и являются достаточным основанием для пересмотра обжалуемых судебных актов в кассационном порядке.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