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17.03.2021, оставленным без изменения постановлением Семнадцатого арбитражного апелляционного суда от 01.06.2021 и постановлением Арбитражного суда Уральского округа от 01.10.2021, в удовлетворении заявленного требования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привлечения к ответственности послужил выявленный инспекцией в результате проведенного административного расследования факт осуществления обществом незаконных валютных операций, в связи с выдачей заработной платы иностранному гражданину наличными денежными средствами без использования банковских счетов. Частью 1 статьи 15.25 КоАП РФ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10.12.2003 № 173-ФЗ «О валютном регулировании и валютном контроле», суды первой и апелляционной инстанций пришли к выводу о наличии в действиях предпринимателя состава административного правонарушения, предусмотренного частью 1 статьи 15.25 КоАП РФ, с чем согласился суд округа.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исчерпывающих мер для соблюдения требований законодательства, что свидетельствует о наличии вины в совершении правонарушения. 3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статьи 2.9 КоАП РФ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правомерно отклонены по мотивам, подробно изложенным в соответствующих судебных актах.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«Слоуфуд»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