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20.09.2021, оставленным без изменения постановлением Тринадцатого арбитражного апелляционного суда от 12.05.2021 и постановлением Арбитражного суда Северо-Западного округа от 20.09.2021, первоначальный иск удовлетворен, в удовлетворении встречного иска отказано. 2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предпринимателем обществу товара и отсутствие доказательств его оплаты последним в полном объеме, руководствуясь статьями 309, 310, 395, 486 Гражданского кодекса Российской Федерации, суды первой и апелляционной инстанций пришли к выводу о наличии оснований для удовлетворения первоначального иска и отказа в удовлетворении встречного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«Оптимальный вакуум»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