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«Хаммер Трейдинг» обратилось в Арбитражный суд города Москвы с иском к обществу с ограниченной ответственностью «Веб Логистика» о применении положений статьи 333 Гражданского кодекса Российской Федерации и снижении размера неустойки за односторонний отказ от договора до 50 000 рублей. Решением Арбитражного суда города Москвы от 10.03.2021 в удовлетворении иска отказано. Постановлением Девятого арбитражного апелляционного суда от 08.06.2021 решение суда первой инстанции оставлено без изменения. Арбитражный суд Московского округа постановлением от 28.09.2021 указанные судебные акты оставил без изменения. Общество с ограниченной ответственностью «Хаммер Трейдинг» обратилось в Судебную коллегию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условиями договора предусмотрен для сторон одинаковый размер неустойки за односторонний отказ от исполнения договора, ответчиком (заказчиком) произведен зачет взаимных требований, руководствуясь положениями статей 309, 310, 329, 330, 333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не усмотрели оснований для применения статьи 333 Гражданского кодекса Российской Федерации ввиду отсутствия доказательств явной несоразмерности начисленной неустойки последствиям нарушения обязательства. Доводы, изложенные в кассационной жалобе и дополнении к ней,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«Хаммер Трейдинг»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