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Харитонова Наталья Борисовна обратилась в Арбитражный суд Костромской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«Мир холода» 627 598 рублей задолженности по договору перевозки грузов автомобильным транспортом. Решением Арбитражного суда Костромской области от 25.11.2020 иск удовлетворен. Постановлением Второго арбитражного апелляционного суда от 08.04.2021 решение суда первой инстанции отменено и в удовлетворении иска отказано. Арбитражный суд Волго-Вятского округа постановлением от 12.10.2021 постановление суда апелляционной инстанции оставил без изменения. Индивидуальный предприниматель Харитонова Наталья Борисовна обратилась в Судебную коллегию Верховного Суда Российской Федерации с 2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апелляционной суд,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оказания истцом (экспедитором) ответчику услуг по перевозке груза, руководствуясь положениями статей 785, 801, 802, 804 Гражданского кодекса Российской Федерации, статьей 8 Федерального закона от 08.11.2007 № 259-ФЗ «Устав автомобильного транспорта и городского наземного электрического транспорта», пришел к выводу об отсутствии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Харитоновой Наталье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