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08.06.2021 завершена процедура реализации имущества Градуленко Александра Александровича; к должнику не применены правила об освобождении от обязательств перед Российской Федерацией (Федеральной налоговой службой России в лице МИФНС России № 9 по Приморскому краю) в размере 394 628 710 рублей 64 копеек, в том числе 394 620 687 рублей 88 копеек основного долга, 3 722 рубля 76 копеек пеней, 4 300 рублей штрафа. Постановлением Пятого арбитражного апелляционного суда от 27.07.2021 определение суда первой инстанции оставлено без изменения. Арбитражный суд Дальневосточного округа постановлением от 30.09.2021 указанные судебные акты оставил без изменения. Градуленко Александр Александрович обратился в Судебную коллегию Верховного Суда Российской Федерации с кассационной жалобой на принятые судебные акты в части неприменения к нему правил об освобождении от дальнейшего исполнения требований,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кредитором – ФНС России.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Градуленко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