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21.01.2021 завершена процедура реализации имущества гражданина в отношении Танцюры Константина Викторовича, должник не освобожден от дальнейшего исполнения требований кредиторов. Постановлением Десятого арбитражного апелляционного суда от 20.05.2021 определение суда первой инстанции отменено в части неприменения правила об освобождении должника от дальнейшего исполнения требований кредиторов и в указанной части принят новый судебный акт об освобождении должника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Арбитражный суд Московского округа постановлением от 29.09.2021 постановление суда апелляционной инстанции в указанной части отменил и оставил в силе определение суда первой инстанции. Цебрик Лариса Викторовна и арбитражный управляющий Майорова Екатерина Викторовна обратились в Судебную коллегию Верховного Суда 2 Российской Федерации с кассационными жалобами на принятые судебные акты в части неприменения правила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суд первой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доказательствам, отменив постановление суда апелляционной инстанции, поскольку вывод суда был сделан без учета поведения должника, не соответствующего принципам разумного и добросовестного.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Цебрик Ларисе Викторовне и арбитражному управляющему Майоровой Екатерине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