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Ярославской области от 03.11.2020, оставленным без изменения постановлением Второго арбитражного апелляционного суда от 19.03.2021, заявленные требования удовлетворены. Постановлением Арбитражного суда Волго-Вятского округа от 07.10.2021 решение суда первой инстанции и постановление суда апелляционной инстанции отменены,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постановление суда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представленной обществом налоговой декларации по налогу на добавленную стоимость (далее - НДС) за второй квартал 2019 года (корректировка № 1) инспекцией приняты оспариваемые решения о привлечении налогоплательщика к ответственности, предусмотренной пунктом 1 статьи 122 Налогового кодекса Российской Федерации (далее – Налоговый кодекс) в виде штрафа в размере 325 133 рублей 50 копеек, обществу доначислен НДС в размере 6 502 671 рубля, начислены соответствующие суммы пеней, а также об отказе в возмещении НДС в размере 6 264 760 рублей. Решением Управления Федеральной налоговой службы по Ярославской области от 17.03.2020 № 60, вынесенным по результатам рассмотрения жалобы налогоплательщика, решения инспекции оставлены без изменения. Основанием для принятия оспариваемых решений послужил вывод налогового органа о неправомерном применении обществом вычетов по НДС по сделке по приобретению основных средств за счет бюджетных инвестиций, полученных путем увеличения размера уставного капитала. Удовлетворяя заявленное требование, суды первой и апелляционной инстанций исходили из правомерного применения обществом налогового вычета по НДС по спорным операциям. При этом суд первой инстанции указал, что пункт 2.1 статьи 170 Налогового кодекса устанавливает различный подход к реализации права на налоговый вычет при приобретении товаров (работ, услуг) за счет полученных налогоплательщиком субсидий и (или) бюджетных ассигнований с последующим увеличением уставного капитала или без такового. При увеличении уставного капитала за счет субсидий и (или) бюджетных ассигнований налоговые вычеты в соответствии с пунктом 2.1 статьи 170 3 Налогового кодекса не могут быть приняты только в случаях проведения капитального строительства и (или) приобретения недвижимого имущества. Суд апелляционной инстанции, ссылаясь на положения статьи 80 Бюджетного кодекса Российской Федерации (далее – Бюджетный кодекс), статьи 213 Гражданского кодекса Российской Федерации, пришел к выводу, что в рассматриваемом случае денежные средства, полученные путем увеличения уставного капитала за счет дополнительного выпуска акций, являются собственными средствами общества, и при соблюдении общих условий для применения вычета налогоплательщик вправе воспользоваться налоговым вычетом при оплате товаров (работ, услуг) с помощью указанных денежных средств. Суд кассационной инстанции счел выводы судов ошибочными. Исследовав и оценив представленные в материалы дела доказательства, суд округа, руководствуясь положениями статей 6, 28, 38, 69, 79, 80 Бюджетного кодекса, пункта 2.1 статьи 170 Налогового кодекса, пришел к выводу о законности оспариваемых ненормативных правовых актов налогового органа. Суд округа исходил из отсутствия у общества правовых оснований для предъявления к вычету спорной суммы НДС, поскольку поступившие налогоплательщику в качестве вклада в уставный капитал денежные средства являются бюджетными инвестициями. При исследовании обстоятельств дела установлено, что увеличение уставного капитала общества производилось в порядке, установленном постановлением Правительства Ярославской области от 11.07.2012 № 640-п «О порядке увеличения уставных фондов (капиталов) государственных предприятий Ярославской области и хозяйственных обществ с участием Ярославской области»; денежные средства выделены во исполнение постановления Правительства Российской Федерации от 15.04.2014 № 326 «Об утверждении государственной программы Российской Федерации «Охрана окружающей среды», постановления Правительства Ярославской области от 30.12.2016 № 1381-п «Об утверждении региональной программы «Развитие комплексной системы обращения с отходами, в том числе с твердыми коммунальными отходами, на территории Ярославской области» на 2016 – 2021 годы»; источник денежных средств – бюджетная система Российской Федерации; денежные средства предоставлены конкретному получателю – обществу, носят целевой характер и повлекли увеличение стоимости государственного (муниципального) имущества на эквивалентную часть уставного капитала общества. 4 Иное толкование заявителем действующего законодательства не свидетельствует о неправильном применении судом кассационной инстанции норм материального права и (или) норм процессуального права, повлиявших на исход дела, в связи с чем доводы общества не могут служить основанием для передачи жалобы на рассмотрение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«Скоково»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