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16.04.2021, оставленным без изменения постановлением Девятого арбитражного апелляционного суда от 30.06.2021, в удовлетворении требования отказано. Постановлением Арбитражного суда Московского округа от 27.09.2021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с учетом признания предписания законным в рамках иного арбитражного дела, суды пришли к выводу о наличии в действиях общества состава правонарушения по части 11 статьи 19.5 Кодекса Российской Федерации об административных правонарушениях. Доказательств невозможности соблюдения требований законодательства в силу чрезвычайных событий и обстоятельств, которые общество не могло предвидеть и предотвратить при соблюдении той степени заботливости и осмотрительности, которая от него требовалась, не установлено. Процедура и срок давности привлечения к ответственности соблюдены, оснований для признания правонарушения малозначительным не выявлено. Доводы жалобы повторяют позицию общества по делу, являлись предметом рассмотрения судов и получили исчерпывающую правовую оценку в обжалуемых судебных актах. При этом из доводов жалобы не следует, что на момент привлечения к административной ответственности предписание было исполнено и противоправное деяние прекращено.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"Инфинити" (подробнее) Ответчики: Центральное управление Федеральной службы по экологическому, технологическому и атомному надзору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