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20.02.2021 в удовлетворении требования отказано. Постановлением Тринадцатого арбитражного апелляционного суда от 24.05.2021 решение суда первой инстанции отменено, заявленное требование удовлетворено. 2 Постановлением Арбитражного суда Северо-Западного округа от 16.09.2021 постановление суда апелляционной инстанции оставлено без изменения. В кассационной жалобе таможня просит отменить постановления судов апелляционной и кассационной инстанций, считая их незаконными и необоснованными.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Частью 3 статьи 16.1 Кодекса Российской Федерации об административных правонарушениях предусмотрена административная ответственность за сообщение в таможенный орган недостоверных сведений о количестве грузовых мест, об их маркировке, о наименовании, весе брутто и (или) об объеме товаров при прибытии на таможенную территорию Таможенного союза,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3 идентификации или подлинного средства идентификации, относящегося к другим товарам и (или) транспортным средствам. Руководствуясь положениями Таможенного кодекса Евразийского экономического союза, Конвенции о договоре международной дорожной перевозки грузов 1956 года, суд апелляционной инстанции отменил решение суда первой инстанции, признав недоказанным наличие в действиях общества состава административного правонарушения, ответственность за совершение которого предусмотрена частью 3 статьи 16.1 Кодекса Российской Федерации об административных правонарушениях, а именно вины в совершении правонарушения, с чем согласился суд округа. При этом суды руководствовались разъяснениями, изложенными в пункте 29 Постановления Пленума Верховного Суда Российской Федерации от 24.10.2006 № 18 «О некоторых вопросах, возникающих у судов при применении Особенной части Кодекса Российской Федерации об административных правонарушениях». Доводы жалобы по существу сводятся к несогласию заявителя с установленными судами фактическими обстоятельствами дела, в том числе, связанными с совершением перевозчиком необходимых разумных мер для обеспечения точности сведений, значимых для таможенных целей, что в силу статьи 2916 Арбитражного процессуального кодекса Российской Федерации не является основанием для отмены оспариваемых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