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23.03.2021, оставленным без изменения постановлением Тринадцатого арбитражного апелляционного суда от 07.06.2021, в удовлетворении требования отказано. Постановлением Арбитражного суда Северо-Западного округа от 06.10.2021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Отказывая в удовлетворении требований, суды руководствовались положениями статей 88 , 100 , 101 , 176 , 176.1 Налогового кодекса Российской Федерации, и исходили из того, что на момент обращения в арбитражный суд материалы налоговой проверки не рассмотрены, решение по итогам проверки не принято.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выявлено. При этом из кассационной жалобы не усматривается, что заявитель лишен возможности защитить нарушенное право иным способом, в связи с чем приведенные в жалобе доводы не являются достаточным основанием в целях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"ЭКСПОБАЛТ" (подробнее) Ответчики: Межрайонная инспекция ФНС №27 по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