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19.01.2021, оставленным без изменения постановлением 2 Тринадцатого арбитражного апелляционного суда от 26.04.2021, иск удовлетворен. Постановлением Северо-Западного округа от 23.09.2021 указанные судебные акты оставлены без изменения. В кассационной жалобе, поступившей в Верховный Суд Российской Федерации, таможенный орган просит отменить принятые по делу судебные акты, считая их незаконными и необоснованными, в иске отказать.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16, 1069 Гражданского кодекса Российской Федерации, суды иск удовлетворили, признав доказанным факт причинения обществу вреда, явившегося следствием ненадлежащих условий хранения переданных на ответственное хранение товаров. Выводы судов не противоречат правовой позиции, изложенной в пунктах 7 и 10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3 должностными лицами», пункте 4 Обзора судебной практики Верховного Суда Российской Федерации № 1 (утв. Президиумом Верховного Суда РФ 04.03.2015).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